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AB9BC" w14:textId="77777777" w:rsidR="006626B5" w:rsidRPr="00F14333" w:rsidRDefault="006626B5" w:rsidP="006626B5">
      <w:pPr>
        <w:rPr>
          <w:b/>
          <w:bCs/>
          <w:i/>
          <w:iCs/>
        </w:rPr>
      </w:pPr>
      <w:r w:rsidRPr="00F14333">
        <w:rPr>
          <w:b/>
          <w:bCs/>
          <w:i/>
          <w:iCs/>
        </w:rPr>
        <w:t xml:space="preserve">How Many Assays Should Adequately Describe a Mean Value </w:t>
      </w:r>
    </w:p>
    <w:p w14:paraId="283ECFAE" w14:textId="1A1B9888" w:rsidR="006626B5" w:rsidRPr="006626B5" w:rsidRDefault="006626B5">
      <w:pPr>
        <w:rPr>
          <w:b/>
          <w:bCs/>
          <w:i/>
          <w:iCs/>
        </w:rPr>
      </w:pPr>
      <w:r w:rsidRPr="006626B5">
        <w:rPr>
          <w:b/>
          <w:bCs/>
          <w:i/>
          <w:iCs/>
        </w:rPr>
        <w:t>With an Example from Crude Protein in a Feed</w:t>
      </w:r>
      <w:r w:rsidRPr="006626B5">
        <w:rPr>
          <w:b/>
          <w:bCs/>
          <w:i/>
          <w:iCs/>
        </w:rPr>
        <w:t>?</w:t>
      </w:r>
    </w:p>
    <w:p w14:paraId="24EA2B66" w14:textId="77777777" w:rsidR="006626B5" w:rsidRPr="001D7DAA" w:rsidRDefault="006626B5"/>
    <w:p w14:paraId="68CC4340" w14:textId="2D0F0F34" w:rsidR="0002651E" w:rsidRDefault="00A57C64">
      <w:r>
        <w:t xml:space="preserve">A closely related problem to how much variation is in the nutrient content of ingredients is how to </w:t>
      </w:r>
      <w:r w:rsidR="0002651E">
        <w:t xml:space="preserve">best </w:t>
      </w:r>
      <w:r>
        <w:t xml:space="preserve">measure the nutrients in each ingredient.  Because ingredients are not always uniform in composition, mixing and sampling can be very important to getting reliable results.  There is </w:t>
      </w:r>
      <w:r w:rsidR="0002651E">
        <w:t xml:space="preserve">also </w:t>
      </w:r>
      <w:r>
        <w:t>a certain amount of error associated with chemical assay</w:t>
      </w:r>
      <w:r w:rsidR="0091638F">
        <w:t>s</w:t>
      </w:r>
      <w:r>
        <w:t xml:space="preserve"> for </w:t>
      </w:r>
      <w:r w:rsidR="0091638F">
        <w:t xml:space="preserve">each nutrient.  </w:t>
      </w:r>
    </w:p>
    <w:p w14:paraId="1E58014D" w14:textId="77777777" w:rsidR="006626B5" w:rsidRDefault="006626B5"/>
    <w:p w14:paraId="3FC39623" w14:textId="77777777" w:rsidR="006626B5" w:rsidRDefault="006626B5" w:rsidP="006626B5">
      <w:r>
        <w:t xml:space="preserve">Figure 1. The Normal Distribution, from </w:t>
      </w:r>
      <w:proofErr w:type="spellStart"/>
      <w:r>
        <w:t>LibreText</w:t>
      </w:r>
      <w:proofErr w:type="spellEnd"/>
      <w:r>
        <w:t>.</w:t>
      </w:r>
    </w:p>
    <w:p w14:paraId="03ED1E45" w14:textId="77777777" w:rsidR="006626B5" w:rsidRDefault="006626B5"/>
    <w:p w14:paraId="0D155C81" w14:textId="6824693E" w:rsidR="006626B5" w:rsidRDefault="006626B5" w:rsidP="006626B5">
      <w:pPr>
        <w:jc w:val="center"/>
      </w:pPr>
      <w:r>
        <w:rPr>
          <w:noProof/>
          <w14:ligatures w14:val="standardContextual"/>
        </w:rPr>
        <w:drawing>
          <wp:inline distT="0" distB="0" distL="0" distR="0" wp14:anchorId="57E64E15" wp14:editId="4C33746F">
            <wp:extent cx="3973902" cy="2087572"/>
            <wp:effectExtent l="38100" t="38100" r="39370" b="33655"/>
            <wp:docPr id="706919361" name="Picture 1" descr="A diagram of a func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919361" name="Picture 1" descr="A diagram of a function&#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4007630" cy="2105290"/>
                    </a:xfrm>
                    <a:prstGeom prst="rect">
                      <a:avLst/>
                    </a:prstGeom>
                    <a:ln w="38100">
                      <a:solidFill>
                        <a:srgbClr val="FF0000"/>
                      </a:solidFill>
                    </a:ln>
                  </pic:spPr>
                </pic:pic>
              </a:graphicData>
            </a:graphic>
          </wp:inline>
        </w:drawing>
      </w:r>
    </w:p>
    <w:p w14:paraId="6B50C640" w14:textId="77777777" w:rsidR="006626B5" w:rsidRDefault="006626B5"/>
    <w:p w14:paraId="69FA82A7" w14:textId="22B1D587" w:rsidR="006626B5" w:rsidRDefault="006626B5">
      <w:r>
        <w:t xml:space="preserve">This discussion </w:t>
      </w:r>
      <w:proofErr w:type="gramStart"/>
      <w:r>
        <w:t>is based on the assumption</w:t>
      </w:r>
      <w:proofErr w:type="gramEnd"/>
      <w:r>
        <w:t xml:space="preserve"> that the nutrient in question is normally distributed in samples of the feed.  This assumption should be checked for each ingredient</w:t>
      </w:r>
      <w:r w:rsidR="00A42F2D">
        <w:t xml:space="preserve">.  For example, what we call wheat is really many different cultivars of wheat, each with potentially different nutrient levels.  The various cultivars may be represented differently at the various grain depots.  The same cultivar grown with the same fertilizer rates will have varying compositions due to local rainfall conditions.  Due diligence should always be practiced when purchasing and feeding feed ingredients. </w:t>
      </w:r>
    </w:p>
    <w:p w14:paraId="4E4C666F" w14:textId="77777777" w:rsidR="006626B5" w:rsidRDefault="006626B5"/>
    <w:p w14:paraId="0576686B" w14:textId="78B1E488" w:rsidR="00A57C64" w:rsidRDefault="00A42F2D">
      <w:r>
        <w:t xml:space="preserve">To understand how much variation exists in feed an analytical method must be chosen.  </w:t>
      </w:r>
      <w:r w:rsidR="0002651E">
        <w:t>The</w:t>
      </w:r>
      <w:r w:rsidR="0091638F">
        <w:t xml:space="preserve"> Dumas method that is </w:t>
      </w:r>
      <w:r w:rsidR="0002651E">
        <w:t xml:space="preserve">commonly used </w:t>
      </w:r>
      <w:r w:rsidR="0091638F">
        <w:t xml:space="preserve">for </w:t>
      </w:r>
      <w:r w:rsidR="0002651E">
        <w:t xml:space="preserve">nitrogen </w:t>
      </w:r>
      <w:r w:rsidR="0048073A">
        <w:t>(</w:t>
      </w:r>
      <w:r w:rsidR="0002651E">
        <w:t xml:space="preserve">and </w:t>
      </w:r>
      <w:r w:rsidR="0048073A">
        <w:t xml:space="preserve">therefore </w:t>
      </w:r>
      <w:r w:rsidR="0091638F">
        <w:t>crude protein</w:t>
      </w:r>
      <w:r w:rsidR="0048073A">
        <w:t>)</w:t>
      </w:r>
      <w:r w:rsidR="0091638F">
        <w:t xml:space="preserve"> determination</w:t>
      </w:r>
      <w:r w:rsidR="0002651E" w:rsidRPr="0002651E">
        <w:t xml:space="preserve"> </w:t>
      </w:r>
      <w:r w:rsidR="0002651E">
        <w:t>is a good example</w:t>
      </w:r>
      <w:r w:rsidR="0091638F">
        <w:t>.  It has been found to have a mean of 31.58 and an SD of 0.72 g N /kg of a standard broiler feed when the</w:t>
      </w:r>
      <w:r w:rsidR="0048073A">
        <w:t xml:space="preserve"> same</w:t>
      </w:r>
      <w:r w:rsidR="0091638F">
        <w:t xml:space="preserve"> feed</w:t>
      </w:r>
      <w:r w:rsidR="0048073A">
        <w:t xml:space="preserve"> sample</w:t>
      </w:r>
      <w:r w:rsidR="0091638F">
        <w:t xml:space="preserve"> was </w:t>
      </w:r>
      <w:r w:rsidR="0002651E">
        <w:t xml:space="preserve">analyzed 90 times over 73 days.  The variation in assay results raises the question of how many samples to run to get a good estimate of the N in a particular batch of mixed feed or </w:t>
      </w:r>
      <w:r>
        <w:t xml:space="preserve">an </w:t>
      </w:r>
      <w:r w:rsidR="0002651E">
        <w:t xml:space="preserve">ingredient.  </w:t>
      </w:r>
      <w:r w:rsidR="00275516">
        <w:t xml:space="preserve">The answer is complicated by the cost of each assay.  The producer </w:t>
      </w:r>
      <w:r w:rsidR="008773AA">
        <w:t>must</w:t>
      </w:r>
      <w:r w:rsidR="00275516">
        <w:t xml:space="preserve"> decide just how important it is to precisely know the nutrient levels in each batch of feed.</w:t>
      </w:r>
    </w:p>
    <w:p w14:paraId="240CA446" w14:textId="77777777" w:rsidR="0002651E" w:rsidRDefault="0002651E"/>
    <w:p w14:paraId="4439DEAA" w14:textId="2799286E" w:rsidR="0002651E" w:rsidRDefault="0002651E">
      <w:r>
        <w:t xml:space="preserve">To </w:t>
      </w:r>
      <w:r w:rsidR="00F14333">
        <w:t>demonstrate</w:t>
      </w:r>
      <w:r w:rsidR="00275516">
        <w:t xml:space="preserve"> the decision-making progress, the worksheet in Figure </w:t>
      </w:r>
      <w:r w:rsidR="00A42F2D">
        <w:t>2</w:t>
      </w:r>
      <w:r w:rsidR="00275516">
        <w:t xml:space="preserve"> was developed</w:t>
      </w:r>
      <w:r w:rsidR="00A42F2D">
        <w:t xml:space="preserve"> (Sample Size Determination</w:t>
      </w:r>
      <w:r w:rsidR="006D6910">
        <w:t>.xlsx</w:t>
      </w:r>
      <w:r w:rsidR="00A42F2D">
        <w:t>)</w:t>
      </w:r>
      <w:r w:rsidR="00275516">
        <w:t xml:space="preserve">.  An estimate of the expected mean value and the SD from historical data are entered into the yellow cells at the top of the worksheet.  An estimate of what the producer would find as an acceptable result also </w:t>
      </w:r>
      <w:r w:rsidR="00A42F2D">
        <w:t>needs</w:t>
      </w:r>
      <w:r w:rsidR="00275516">
        <w:t xml:space="preserve"> to be entered.  In this example the producer would like to know the value of the N in their feed within 3% of the mean.  </w:t>
      </w:r>
      <w:proofErr w:type="gramStart"/>
      <w:r w:rsidR="00275516">
        <w:t>So</w:t>
      </w:r>
      <w:proofErr w:type="gramEnd"/>
      <w:r w:rsidR="00275516">
        <w:t xml:space="preserve"> t</w:t>
      </w:r>
      <w:r w:rsidR="00A43807">
        <w:t xml:space="preserve">he results should be between 0.97 and 1.03 times 31.58, for a range of 1.89.  </w:t>
      </w:r>
    </w:p>
    <w:p w14:paraId="0B557690" w14:textId="77777777" w:rsidR="00A43807" w:rsidRDefault="00A43807"/>
    <w:p w14:paraId="67E43E13" w14:textId="1B5AADFA" w:rsidR="00A43807" w:rsidRDefault="00A43807">
      <w:r>
        <w:t xml:space="preserve">The CONFIDENCE function of Excel </w:t>
      </w:r>
      <w:r w:rsidR="006D6910">
        <w:t>was</w:t>
      </w:r>
      <w:r>
        <w:t xml:space="preserve"> used to determine the confidence interval that can be expected knowing the SD, sample size, and alpha.  Alpha stands for the proportion times that the results are </w:t>
      </w:r>
      <w:proofErr w:type="gramStart"/>
      <w:r>
        <w:t>actually outside</w:t>
      </w:r>
      <w:proofErr w:type="gramEnd"/>
      <w:r>
        <w:t xml:space="preserve"> the determined confidence interval.  Since we are dealing with variation, we can</w:t>
      </w:r>
      <w:r w:rsidR="001F23AF">
        <w:t xml:space="preserve">not always </w:t>
      </w:r>
      <w:r>
        <w:t>be sure of our results, but instead can accept being correct 95% of the time (</w:t>
      </w:r>
      <w:r>
        <w:sym w:font="Symbol" w:char="F061"/>
      </w:r>
      <w:r>
        <w:t xml:space="preserve"> = 0.05), or 90% of the time (</w:t>
      </w:r>
      <w:r>
        <w:sym w:font="Symbol" w:char="F061"/>
      </w:r>
      <w:r>
        <w:t xml:space="preserve"> = 0.10)</w:t>
      </w:r>
      <w:r w:rsidR="001F23AF">
        <w:t>, etc.</w:t>
      </w:r>
    </w:p>
    <w:p w14:paraId="4337CCAC" w14:textId="77777777" w:rsidR="00A57C64" w:rsidRDefault="00A57C64"/>
    <w:p w14:paraId="7601DF9B" w14:textId="0F78872A" w:rsidR="00A57C64" w:rsidRDefault="001F23AF">
      <w:r>
        <w:t xml:space="preserve">In the center of Figure </w:t>
      </w:r>
      <w:r w:rsidR="0048073A">
        <w:t>2</w:t>
      </w:r>
      <w:r>
        <w:t xml:space="preserve"> is a table showing the expected confidence intervals for different numbers of samples and different values of alpha.  If only one analysis was made on a feed sample, </w:t>
      </w:r>
      <w:r w:rsidR="0048073A">
        <w:t>the</w:t>
      </w:r>
      <w:r>
        <w:t xml:space="preserve"> expect</w:t>
      </w:r>
      <w:r w:rsidR="0048073A">
        <w:t>ed</w:t>
      </w:r>
      <w:r>
        <w:t xml:space="preserve"> value </w:t>
      </w:r>
      <w:r w:rsidR="0048073A">
        <w:t>should</w:t>
      </w:r>
      <w:r>
        <w:t xml:space="preserve"> be within the confidence interval of 2.8 g/kg 95% of the time.  And the value </w:t>
      </w:r>
      <w:r w:rsidR="0048073A">
        <w:t>should</w:t>
      </w:r>
      <w:r>
        <w:t xml:space="preserve"> be within the confidence interval of 3.7 g/kg 99% of the time.  To have a confidence interval smaller than </w:t>
      </w:r>
      <w:r w:rsidR="00931198">
        <w:t xml:space="preserve">the desired </w:t>
      </w:r>
      <w:r>
        <w:t>1.89</w:t>
      </w:r>
      <w:r w:rsidR="00931198">
        <w:t xml:space="preserve"> and expec</w:t>
      </w:r>
      <w:r w:rsidR="0048073A">
        <w:t>ted to</w:t>
      </w:r>
      <w:r w:rsidR="00931198">
        <w:t xml:space="preserve"> be inside it 95% of the time,</w:t>
      </w:r>
      <w:r>
        <w:t xml:space="preserve"> it would be necessary to have at least 3 samples</w:t>
      </w:r>
      <w:r w:rsidR="00931198">
        <w:t>.  To have a confidence interval smaller than 1.89 and expect to be inside it 99% of the time, it would be necessary to have at least 5 samples.</w:t>
      </w:r>
    </w:p>
    <w:p w14:paraId="2B89F569" w14:textId="77777777" w:rsidR="00A57C64" w:rsidRDefault="00A57C64"/>
    <w:p w14:paraId="5A574581" w14:textId="49F10748" w:rsidR="00A57C64" w:rsidRDefault="00931198">
      <w:r>
        <w:t xml:space="preserve">The bottom third of Figure 3 shows the results of simulations to confirm the conclusions based on equations.  One random value from a normal distribution with a mean of 31.58 and SD of 0.72 was </w:t>
      </w:r>
      <w:r w:rsidR="00057564">
        <w:t>a</w:t>
      </w:r>
      <w:r>
        <w:t xml:space="preserve"> </w:t>
      </w:r>
      <w:r w:rsidR="00057564">
        <w:t>sample.  There were 1 to 10 samples per simulation and 1000 simulations.  For each simulation, the number of values outside the 95% confidence interval were tabulated.</w:t>
      </w:r>
      <w:r w:rsidR="0004021B">
        <w:t xml:space="preserve">  </w:t>
      </w:r>
    </w:p>
    <w:p w14:paraId="0F6D309E" w14:textId="77777777" w:rsidR="00A57C64" w:rsidRDefault="00A57C64"/>
    <w:p w14:paraId="4AB7FEA2" w14:textId="77777777" w:rsidR="00275516" w:rsidRDefault="00275516"/>
    <w:p w14:paraId="7B9FFA25" w14:textId="49F7F9FF" w:rsidR="00275516" w:rsidRDefault="00275516">
      <w:r>
        <w:t xml:space="preserve">Figure </w:t>
      </w:r>
      <w:r w:rsidR="0048073A">
        <w:t>2</w:t>
      </w:r>
      <w:r>
        <w:t>.  Finding confidence in laboratory results.</w:t>
      </w:r>
    </w:p>
    <w:p w14:paraId="4A9FE0C7" w14:textId="065378CF" w:rsidR="00A85B36" w:rsidRDefault="0048073A">
      <w:r>
        <w:rPr>
          <w:noProof/>
          <w14:ligatures w14:val="standardContextual"/>
        </w:rPr>
        <w:drawing>
          <wp:inline distT="0" distB="0" distL="0" distR="0" wp14:anchorId="28171233" wp14:editId="45C0588B">
            <wp:extent cx="5796844" cy="3621170"/>
            <wp:effectExtent l="38100" t="38100" r="33020" b="36830"/>
            <wp:docPr id="104003444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034449" name="Picture 1040034449"/>
                    <pic:cNvPicPr/>
                  </pic:nvPicPr>
                  <pic:blipFill>
                    <a:blip r:embed="rId6">
                      <a:extLst>
                        <a:ext uri="{28A0092B-C50C-407E-A947-70E740481C1C}">
                          <a14:useLocalDpi xmlns:a14="http://schemas.microsoft.com/office/drawing/2010/main" val="0"/>
                        </a:ext>
                      </a:extLst>
                    </a:blip>
                    <a:stretch>
                      <a:fillRect/>
                    </a:stretch>
                  </pic:blipFill>
                  <pic:spPr>
                    <a:xfrm>
                      <a:off x="0" y="0"/>
                      <a:ext cx="5805454" cy="3626549"/>
                    </a:xfrm>
                    <a:prstGeom prst="rect">
                      <a:avLst/>
                    </a:prstGeom>
                    <a:ln w="38100">
                      <a:solidFill>
                        <a:srgbClr val="FF0000"/>
                      </a:solidFill>
                    </a:ln>
                  </pic:spPr>
                </pic:pic>
              </a:graphicData>
            </a:graphic>
          </wp:inline>
        </w:drawing>
      </w:r>
    </w:p>
    <w:p w14:paraId="325E3AFF" w14:textId="77777777" w:rsidR="00A85B36" w:rsidRDefault="00A85B36"/>
    <w:p w14:paraId="2A6B87E0" w14:textId="7B0B8340" w:rsidR="00A85B36" w:rsidRDefault="0004021B">
      <w:r>
        <w:lastRenderedPageBreak/>
        <w:t>Therefore, the confidence intervals in Rows 17 to 19 represent the sample size, and the probabilities estimated in Row 30 gives a more precise estimate of how many times values inside the confidence interval should be achieved.</w:t>
      </w:r>
    </w:p>
    <w:p w14:paraId="1040164E" w14:textId="77777777" w:rsidR="0004021B" w:rsidRDefault="0004021B"/>
    <w:p w14:paraId="71B1BCD7" w14:textId="5359E86E" w:rsidR="0004021B" w:rsidRDefault="0004021B">
      <w:r>
        <w:t xml:space="preserve">Figure 2 shows the expected increase in confidence if more than one assay were to be run.  Compare cell F16 to G16 and then H16, etc.  It is a simple matter of calculating </w:t>
      </w:r>
      <w:r w:rsidR="00DF7C31">
        <w:t xml:space="preserve">the standard errors and then multiplying by the cost per assay to produce a figure like Figure 3.  In the example, the cost was $2.00 per assay.  The producer then </w:t>
      </w:r>
      <w:r w:rsidR="00C31CEA">
        <w:t>must</w:t>
      </w:r>
      <w:r w:rsidR="00DF7C31">
        <w:t xml:space="preserve"> decide the value of precisely knowing the protein level in each sample.</w:t>
      </w:r>
    </w:p>
    <w:p w14:paraId="268DAE0D" w14:textId="77777777" w:rsidR="0004021B" w:rsidRDefault="0004021B" w:rsidP="0004021B"/>
    <w:p w14:paraId="7523BE4D" w14:textId="56421DDC" w:rsidR="0004021B" w:rsidRDefault="0004021B" w:rsidP="0004021B">
      <w:r>
        <w:t xml:space="preserve">Figure </w:t>
      </w:r>
      <w:r>
        <w:t>3</w:t>
      </w:r>
      <w:r>
        <w:t xml:space="preserve">.  </w:t>
      </w:r>
      <w:r>
        <w:t>Balancing costs and</w:t>
      </w:r>
      <w:r>
        <w:t xml:space="preserve"> confidence in laboratory results.</w:t>
      </w:r>
    </w:p>
    <w:p w14:paraId="5D32774D" w14:textId="77777777" w:rsidR="0004021B" w:rsidRDefault="0004021B"/>
    <w:p w14:paraId="741DBA69" w14:textId="5FD7C7D3" w:rsidR="00A85B36" w:rsidRPr="00B16D5E" w:rsidRDefault="0048073A">
      <w:r>
        <w:rPr>
          <w:noProof/>
          <w14:ligatures w14:val="standardContextual"/>
        </w:rPr>
        <w:drawing>
          <wp:inline distT="0" distB="0" distL="0" distR="0" wp14:anchorId="37742248" wp14:editId="649B41C9">
            <wp:extent cx="5943600" cy="4309745"/>
            <wp:effectExtent l="38100" t="38100" r="38100" b="33655"/>
            <wp:docPr id="8207444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0744460" name=""/>
                    <pic:cNvPicPr/>
                  </pic:nvPicPr>
                  <pic:blipFill>
                    <a:blip r:embed="rId7"/>
                    <a:stretch>
                      <a:fillRect/>
                    </a:stretch>
                  </pic:blipFill>
                  <pic:spPr>
                    <a:xfrm>
                      <a:off x="0" y="0"/>
                      <a:ext cx="5943600" cy="4309745"/>
                    </a:xfrm>
                    <a:prstGeom prst="rect">
                      <a:avLst/>
                    </a:prstGeom>
                    <a:ln w="38100">
                      <a:solidFill>
                        <a:srgbClr val="FF0000"/>
                      </a:solidFill>
                    </a:ln>
                  </pic:spPr>
                </pic:pic>
              </a:graphicData>
            </a:graphic>
          </wp:inline>
        </w:drawing>
      </w:r>
    </w:p>
    <w:p w14:paraId="1C766817" w14:textId="77777777" w:rsidR="0004021B" w:rsidRDefault="0004021B"/>
    <w:p w14:paraId="63A80504" w14:textId="253B5DF5" w:rsidR="00E64274" w:rsidRPr="001D7DAA" w:rsidRDefault="00C31CEA">
      <w:r>
        <w:t xml:space="preserve">An even more interesting problem arises when there are two different assays that have different inputs and different amounts of inherent variation.  The example in the Hall et al. (2003) paper (below) involves two methods for determining the bone ash of broiler chickens.  One method is quicker and easier and does not require expensive and toxic chemicals but gives much more variable results than the other.  The quick method requires more samples to get the same confidence in the mean as the traditional method.  Therefore, sometimes there are more than </w:t>
      </w:r>
      <w:r w:rsidR="004662A2">
        <w:t>costs involved in making the decision of how many replicates should be run.</w:t>
      </w:r>
      <w:r w:rsidR="00E64274" w:rsidRPr="001D7DAA">
        <w:br w:type="page"/>
      </w:r>
    </w:p>
    <w:p w14:paraId="158B4906" w14:textId="77777777" w:rsidR="00E64274" w:rsidRPr="001D7DAA" w:rsidRDefault="00E64274" w:rsidP="00E64274">
      <w:r w:rsidRPr="001D7DAA">
        <w:lastRenderedPageBreak/>
        <w:t>REFERENCES</w:t>
      </w:r>
    </w:p>
    <w:p w14:paraId="36AE3ADD" w14:textId="77777777" w:rsidR="00A25CB2" w:rsidRPr="00C239D8" w:rsidRDefault="00A25CB2" w:rsidP="00A25CB2"/>
    <w:p w14:paraId="195C57E4" w14:textId="77777777" w:rsidR="00D25F49" w:rsidRPr="00C239D8" w:rsidRDefault="00D25F49" w:rsidP="00D25F49"/>
    <w:p w14:paraId="65483170" w14:textId="16CF33A3" w:rsidR="00D25F49" w:rsidRPr="00C239D8" w:rsidRDefault="00D25F49" w:rsidP="00D25F49">
      <w:r w:rsidRPr="00C239D8">
        <w:t>R.D Etheridge, G.M Pesti, E.H Foster</w:t>
      </w:r>
      <w:r w:rsidR="00C239D8" w:rsidRPr="00C239D8">
        <w:t xml:space="preserve">. </w:t>
      </w:r>
      <w:r w:rsidR="00C239D8" w:rsidRPr="00C239D8">
        <w:t>1998</w:t>
      </w:r>
      <w:r w:rsidR="00C239D8" w:rsidRPr="00C239D8">
        <w:t xml:space="preserve">. </w:t>
      </w:r>
      <w:r w:rsidRPr="00C239D8">
        <w:t xml:space="preserve">A comparison of nitrogen values obtained utilizing the </w:t>
      </w:r>
      <w:proofErr w:type="spellStart"/>
      <w:r w:rsidRPr="00C239D8">
        <w:t>Kjeldahl</w:t>
      </w:r>
      <w:proofErr w:type="spellEnd"/>
      <w:r w:rsidRPr="00C239D8">
        <w:t xml:space="preserve"> nitrogen and </w:t>
      </w:r>
      <w:proofErr w:type="gramStart"/>
      <w:r w:rsidRPr="00C239D8">
        <w:t>Dumas</w:t>
      </w:r>
      <w:proofErr w:type="gramEnd"/>
      <w:r w:rsidRPr="00C239D8">
        <w:t xml:space="preserve"> combustion methodologies (</w:t>
      </w:r>
      <w:proofErr w:type="spellStart"/>
      <w:r w:rsidRPr="00C239D8">
        <w:t>Leco</w:t>
      </w:r>
      <w:proofErr w:type="spellEnd"/>
      <w:r w:rsidRPr="00C239D8">
        <w:t xml:space="preserve"> CNS 2000) on samples typical of an animal nutrition analytical laboratory</w:t>
      </w:r>
      <w:r w:rsidR="00C239D8" w:rsidRPr="00C239D8">
        <w:t xml:space="preserve">.  </w:t>
      </w:r>
      <w:r w:rsidRPr="00C239D8">
        <w:t>Animal Feed Science and Technology 73</w:t>
      </w:r>
      <w:r w:rsidR="00C239D8" w:rsidRPr="00C239D8">
        <w:t xml:space="preserve">: </w:t>
      </w:r>
      <w:r w:rsidR="00C239D8" w:rsidRPr="00C239D8">
        <w:t>21-28</w:t>
      </w:r>
      <w:r w:rsidR="00C239D8" w:rsidRPr="00C239D8">
        <w:t xml:space="preserve">.  </w:t>
      </w:r>
      <w:r w:rsidRPr="00C239D8">
        <w:t>https://doi.org/10.1016/S0377-8401(98)00136-9.</w:t>
      </w:r>
    </w:p>
    <w:p w14:paraId="1D9D7838" w14:textId="77777777" w:rsidR="00D25F49" w:rsidRPr="00C239D8" w:rsidRDefault="00D25F49" w:rsidP="00D25F49"/>
    <w:p w14:paraId="76BBCC09" w14:textId="039768DA" w:rsidR="00A25CB2" w:rsidRPr="00C239D8" w:rsidRDefault="00C239D8" w:rsidP="00E64274">
      <w:r w:rsidRPr="00C239D8">
        <w:rPr>
          <w:color w:val="212121"/>
          <w:shd w:val="clear" w:color="auto" w:fill="FFFFFF"/>
        </w:rPr>
        <w:t xml:space="preserve">Hall LE, Shirley RB, </w:t>
      </w:r>
      <w:proofErr w:type="spellStart"/>
      <w:r w:rsidRPr="00C239D8">
        <w:rPr>
          <w:color w:val="212121"/>
          <w:shd w:val="clear" w:color="auto" w:fill="FFFFFF"/>
        </w:rPr>
        <w:t>Bakalli</w:t>
      </w:r>
      <w:proofErr w:type="spellEnd"/>
      <w:r w:rsidRPr="00C239D8">
        <w:rPr>
          <w:color w:val="212121"/>
          <w:shd w:val="clear" w:color="auto" w:fill="FFFFFF"/>
        </w:rPr>
        <w:t xml:space="preserve"> RI, Aggrey SE, Pesti GM, Edwards HM Jr. 2003</w:t>
      </w:r>
      <w:r w:rsidRPr="00C239D8">
        <w:rPr>
          <w:color w:val="212121"/>
          <w:shd w:val="clear" w:color="auto" w:fill="FFFFFF"/>
        </w:rPr>
        <w:t xml:space="preserve">.  </w:t>
      </w:r>
      <w:r w:rsidRPr="00C239D8">
        <w:rPr>
          <w:color w:val="212121"/>
          <w:shd w:val="clear" w:color="auto" w:fill="FFFFFF"/>
        </w:rPr>
        <w:t>Power of two methods for the estimation of bone ash of broilers. Poult</w:t>
      </w:r>
      <w:r w:rsidRPr="00C239D8">
        <w:rPr>
          <w:color w:val="212121"/>
          <w:shd w:val="clear" w:color="auto" w:fill="FFFFFF"/>
        </w:rPr>
        <w:t>ry</w:t>
      </w:r>
      <w:r w:rsidRPr="00C239D8">
        <w:rPr>
          <w:color w:val="212121"/>
          <w:shd w:val="clear" w:color="auto" w:fill="FFFFFF"/>
        </w:rPr>
        <w:t xml:space="preserve"> Sci</w:t>
      </w:r>
      <w:r w:rsidRPr="00C239D8">
        <w:rPr>
          <w:color w:val="212121"/>
          <w:shd w:val="clear" w:color="auto" w:fill="FFFFFF"/>
        </w:rPr>
        <w:t xml:space="preserve">ence </w:t>
      </w:r>
      <w:r w:rsidRPr="00C239D8">
        <w:rPr>
          <w:color w:val="212121"/>
          <w:shd w:val="clear" w:color="auto" w:fill="FFFFFF"/>
        </w:rPr>
        <w:t xml:space="preserve">82(3):414-8. </w:t>
      </w:r>
      <w:proofErr w:type="spellStart"/>
      <w:r w:rsidRPr="00C239D8">
        <w:rPr>
          <w:color w:val="212121"/>
          <w:shd w:val="clear" w:color="auto" w:fill="FFFFFF"/>
        </w:rPr>
        <w:t>doi</w:t>
      </w:r>
      <w:proofErr w:type="spellEnd"/>
      <w:r w:rsidRPr="00C239D8">
        <w:rPr>
          <w:color w:val="212121"/>
          <w:shd w:val="clear" w:color="auto" w:fill="FFFFFF"/>
        </w:rPr>
        <w:t>: 10.1093/</w:t>
      </w:r>
      <w:proofErr w:type="spellStart"/>
      <w:r w:rsidRPr="00C239D8">
        <w:rPr>
          <w:color w:val="212121"/>
          <w:shd w:val="clear" w:color="auto" w:fill="FFFFFF"/>
        </w:rPr>
        <w:t>ps</w:t>
      </w:r>
      <w:proofErr w:type="spellEnd"/>
      <w:r w:rsidRPr="00C239D8">
        <w:rPr>
          <w:color w:val="212121"/>
          <w:shd w:val="clear" w:color="auto" w:fill="FFFFFF"/>
        </w:rPr>
        <w:t xml:space="preserve">/82.3.414. </w:t>
      </w:r>
    </w:p>
    <w:sectPr w:rsidR="00A25CB2" w:rsidRPr="00C239D8" w:rsidSect="00013901">
      <w:pgSz w:w="12240" w:h="15840"/>
      <w:pgMar w:top="1440" w:right="1440" w:bottom="1440" w:left="1440" w:header="720" w:footer="720" w:gutter="0"/>
      <w:lnNumType w:countBy="1" w:restart="continuou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87832"/>
    <w:multiLevelType w:val="hybridMultilevel"/>
    <w:tmpl w:val="2F0E79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AC11C3"/>
    <w:multiLevelType w:val="hybridMultilevel"/>
    <w:tmpl w:val="85D0E2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3977866">
    <w:abstractNumId w:val="0"/>
  </w:num>
  <w:num w:numId="2" w16cid:durableId="9873926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274"/>
    <w:rsid w:val="00013901"/>
    <w:rsid w:val="0002651E"/>
    <w:rsid w:val="00035C76"/>
    <w:rsid w:val="0004021B"/>
    <w:rsid w:val="00057564"/>
    <w:rsid w:val="000D0864"/>
    <w:rsid w:val="00125278"/>
    <w:rsid w:val="001973EA"/>
    <w:rsid w:val="001A0D22"/>
    <w:rsid w:val="001C261B"/>
    <w:rsid w:val="001C5529"/>
    <w:rsid w:val="001D7DAA"/>
    <w:rsid w:val="001F2143"/>
    <w:rsid w:val="001F23AF"/>
    <w:rsid w:val="002251DD"/>
    <w:rsid w:val="00275516"/>
    <w:rsid w:val="002B55AE"/>
    <w:rsid w:val="0037539C"/>
    <w:rsid w:val="00390BE2"/>
    <w:rsid w:val="003A5E02"/>
    <w:rsid w:val="003B4D3D"/>
    <w:rsid w:val="003F173B"/>
    <w:rsid w:val="00427EF1"/>
    <w:rsid w:val="00431D73"/>
    <w:rsid w:val="0044311B"/>
    <w:rsid w:val="00456224"/>
    <w:rsid w:val="004662A2"/>
    <w:rsid w:val="00467FCB"/>
    <w:rsid w:val="0048073A"/>
    <w:rsid w:val="004861E0"/>
    <w:rsid w:val="00490370"/>
    <w:rsid w:val="00634DEE"/>
    <w:rsid w:val="006626B5"/>
    <w:rsid w:val="006D6910"/>
    <w:rsid w:val="007214CC"/>
    <w:rsid w:val="00732AD9"/>
    <w:rsid w:val="007D0927"/>
    <w:rsid w:val="008773AA"/>
    <w:rsid w:val="008C2E77"/>
    <w:rsid w:val="009025CB"/>
    <w:rsid w:val="0091638F"/>
    <w:rsid w:val="00931198"/>
    <w:rsid w:val="00A25CB2"/>
    <w:rsid w:val="00A42F2D"/>
    <w:rsid w:val="00A43807"/>
    <w:rsid w:val="00A57C64"/>
    <w:rsid w:val="00A85B36"/>
    <w:rsid w:val="00AC76CF"/>
    <w:rsid w:val="00AD1031"/>
    <w:rsid w:val="00AF26C6"/>
    <w:rsid w:val="00B034D6"/>
    <w:rsid w:val="00B16D5E"/>
    <w:rsid w:val="00B330F8"/>
    <w:rsid w:val="00C239D8"/>
    <w:rsid w:val="00C31CEA"/>
    <w:rsid w:val="00CF5C15"/>
    <w:rsid w:val="00D10B74"/>
    <w:rsid w:val="00D25F49"/>
    <w:rsid w:val="00D3428D"/>
    <w:rsid w:val="00D442F3"/>
    <w:rsid w:val="00DF7C31"/>
    <w:rsid w:val="00E148B5"/>
    <w:rsid w:val="00E457EA"/>
    <w:rsid w:val="00E618CB"/>
    <w:rsid w:val="00E64274"/>
    <w:rsid w:val="00E82559"/>
    <w:rsid w:val="00E84D24"/>
    <w:rsid w:val="00E915F5"/>
    <w:rsid w:val="00EA17DE"/>
    <w:rsid w:val="00ED1A53"/>
    <w:rsid w:val="00F14333"/>
    <w:rsid w:val="00FC4970"/>
    <w:rsid w:val="00FE35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5F65D"/>
  <w15:chartTrackingRefBased/>
  <w15:docId w15:val="{65C1D251-163A-0347-B360-89D9C30D5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5CB2"/>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4274"/>
    <w:rPr>
      <w:color w:val="0563C1" w:themeColor="hyperlink"/>
      <w:u w:val="single"/>
    </w:rPr>
  </w:style>
  <w:style w:type="character" w:styleId="UnresolvedMention">
    <w:name w:val="Unresolved Mention"/>
    <w:basedOn w:val="DefaultParagraphFont"/>
    <w:uiPriority w:val="99"/>
    <w:semiHidden/>
    <w:unhideWhenUsed/>
    <w:rsid w:val="00E64274"/>
    <w:rPr>
      <w:color w:val="605E5C"/>
      <w:shd w:val="clear" w:color="auto" w:fill="E1DFDD"/>
    </w:rPr>
  </w:style>
  <w:style w:type="character" w:styleId="FollowedHyperlink">
    <w:name w:val="FollowedHyperlink"/>
    <w:basedOn w:val="DefaultParagraphFont"/>
    <w:uiPriority w:val="99"/>
    <w:semiHidden/>
    <w:unhideWhenUsed/>
    <w:rsid w:val="00E64274"/>
    <w:rPr>
      <w:color w:val="954F72" w:themeColor="followedHyperlink"/>
      <w:u w:val="single"/>
    </w:rPr>
  </w:style>
  <w:style w:type="paragraph" w:styleId="ListParagraph">
    <w:name w:val="List Paragraph"/>
    <w:basedOn w:val="Normal"/>
    <w:uiPriority w:val="34"/>
    <w:qFormat/>
    <w:rsid w:val="0037539C"/>
    <w:pPr>
      <w:ind w:left="720"/>
      <w:contextualSpacing/>
    </w:pPr>
    <w:rPr>
      <w:rFonts w:asciiTheme="minorHAnsi" w:eastAsiaTheme="minorHAnsi" w:hAnsiTheme="minorHAnsi" w:cstheme="minorBidi"/>
      <w:kern w:val="2"/>
      <w14:ligatures w14:val="standardContextual"/>
    </w:rPr>
  </w:style>
  <w:style w:type="paragraph" w:styleId="NormalWeb">
    <w:name w:val="Normal (Web)"/>
    <w:basedOn w:val="Normal"/>
    <w:uiPriority w:val="99"/>
    <w:semiHidden/>
    <w:unhideWhenUsed/>
    <w:rsid w:val="00A25CB2"/>
    <w:pPr>
      <w:spacing w:before="100" w:beforeAutospacing="1" w:after="100" w:afterAutospacing="1"/>
    </w:pPr>
  </w:style>
  <w:style w:type="character" w:customStyle="1" w:styleId="apple-converted-space">
    <w:name w:val="apple-converted-space"/>
    <w:basedOn w:val="DefaultParagraphFont"/>
    <w:rsid w:val="00A25CB2"/>
  </w:style>
  <w:style w:type="character" w:styleId="LineNumber">
    <w:name w:val="line number"/>
    <w:basedOn w:val="DefaultParagraphFont"/>
    <w:uiPriority w:val="99"/>
    <w:semiHidden/>
    <w:unhideWhenUsed/>
    <w:rsid w:val="00013901"/>
  </w:style>
  <w:style w:type="character" w:customStyle="1" w:styleId="mi">
    <w:name w:val="mi"/>
    <w:basedOn w:val="DefaultParagraphFont"/>
    <w:rsid w:val="00B16D5E"/>
  </w:style>
  <w:style w:type="character" w:customStyle="1" w:styleId="mn">
    <w:name w:val="mn"/>
    <w:basedOn w:val="DefaultParagraphFont"/>
    <w:rsid w:val="00B16D5E"/>
  </w:style>
  <w:style w:type="character" w:customStyle="1" w:styleId="mo">
    <w:name w:val="mo"/>
    <w:basedOn w:val="DefaultParagraphFont"/>
    <w:rsid w:val="00B16D5E"/>
  </w:style>
  <w:style w:type="character" w:customStyle="1" w:styleId="mjxassistivemathml">
    <w:name w:val="mjx_assistive_mathml"/>
    <w:basedOn w:val="DefaultParagraphFont"/>
    <w:rsid w:val="00B16D5E"/>
  </w:style>
  <w:style w:type="character" w:styleId="PlaceholderText">
    <w:name w:val="Placeholder Text"/>
    <w:basedOn w:val="DefaultParagraphFont"/>
    <w:uiPriority w:val="99"/>
    <w:semiHidden/>
    <w:rsid w:val="00B16D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629680">
      <w:bodyDiv w:val="1"/>
      <w:marLeft w:val="0"/>
      <w:marRight w:val="0"/>
      <w:marTop w:val="0"/>
      <w:marBottom w:val="0"/>
      <w:divBdr>
        <w:top w:val="none" w:sz="0" w:space="0" w:color="auto"/>
        <w:left w:val="none" w:sz="0" w:space="0" w:color="auto"/>
        <w:bottom w:val="none" w:sz="0" w:space="0" w:color="auto"/>
        <w:right w:val="none" w:sz="0" w:space="0" w:color="auto"/>
      </w:divBdr>
    </w:div>
    <w:div w:id="830876147">
      <w:bodyDiv w:val="1"/>
      <w:marLeft w:val="0"/>
      <w:marRight w:val="0"/>
      <w:marTop w:val="0"/>
      <w:marBottom w:val="0"/>
      <w:divBdr>
        <w:top w:val="none" w:sz="0" w:space="0" w:color="auto"/>
        <w:left w:val="none" w:sz="0" w:space="0" w:color="auto"/>
        <w:bottom w:val="none" w:sz="0" w:space="0" w:color="auto"/>
        <w:right w:val="none" w:sz="0" w:space="0" w:color="auto"/>
      </w:divBdr>
      <w:divsChild>
        <w:div w:id="1593777549">
          <w:marLeft w:val="0"/>
          <w:marRight w:val="0"/>
          <w:marTop w:val="240"/>
          <w:marBottom w:val="240"/>
          <w:divBdr>
            <w:top w:val="none" w:sz="0" w:space="0" w:color="auto"/>
            <w:left w:val="none" w:sz="0" w:space="0" w:color="auto"/>
            <w:bottom w:val="none" w:sz="0" w:space="0" w:color="auto"/>
            <w:right w:val="none" w:sz="0" w:space="0" w:color="auto"/>
          </w:divBdr>
        </w:div>
      </w:divsChild>
    </w:div>
    <w:div w:id="2026665572">
      <w:bodyDiv w:val="1"/>
      <w:marLeft w:val="0"/>
      <w:marRight w:val="0"/>
      <w:marTop w:val="0"/>
      <w:marBottom w:val="0"/>
      <w:divBdr>
        <w:top w:val="none" w:sz="0" w:space="0" w:color="auto"/>
        <w:left w:val="none" w:sz="0" w:space="0" w:color="auto"/>
        <w:bottom w:val="none" w:sz="0" w:space="0" w:color="auto"/>
        <w:right w:val="none" w:sz="0" w:space="0" w:color="auto"/>
      </w:divBdr>
    </w:div>
    <w:div w:id="211189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861</Words>
  <Characters>4910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 Michael Pesti</dc:creator>
  <cp:keywords/>
  <dc:description/>
  <cp:lastModifiedBy>Gene Michael Pesti</cp:lastModifiedBy>
  <cp:revision>3</cp:revision>
  <dcterms:created xsi:type="dcterms:W3CDTF">2024-02-14T00:32:00Z</dcterms:created>
  <dcterms:modified xsi:type="dcterms:W3CDTF">2024-02-14T00:51:00Z</dcterms:modified>
</cp:coreProperties>
</file>